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D95F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95F73" w:rsidRDefault="00E857D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95F73" w:rsidRDefault="00E857D3">
            <w:pPr>
              <w:spacing w:after="0" w:line="240" w:lineRule="auto"/>
            </w:pPr>
            <w:r>
              <w:t>38181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95F73" w:rsidRDefault="00E857D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95F73" w:rsidRDefault="00E857D3">
            <w:pPr>
              <w:spacing w:after="0" w:line="240" w:lineRule="auto"/>
            </w:pPr>
            <w:r>
              <w:t>ŽUPANIJSKA UPRAVA ZA CESTE ZADARSKE ŽUPANIJE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95F73" w:rsidRDefault="00E857D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95F73" w:rsidRDefault="00E857D3">
            <w:pPr>
              <w:spacing w:after="0" w:line="240" w:lineRule="auto"/>
            </w:pPr>
            <w:r>
              <w:t>42</w:t>
            </w:r>
          </w:p>
        </w:tc>
      </w:tr>
    </w:tbl>
    <w:p w:rsidR="00D95F73" w:rsidRDefault="00E857D3">
      <w:r>
        <w:br/>
      </w:r>
    </w:p>
    <w:p w:rsidR="00D95F73" w:rsidRDefault="00E857D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95F73" w:rsidRDefault="00E857D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95F73" w:rsidRDefault="00E857D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8.477.934,97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9.546.359,89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6.687.743,54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7.848.321,86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1.790.191,43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1.698.038,03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94,9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1.342.505,37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2.508.235,22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186,8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1.338.405,37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2.508.235,22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187,4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810.197,19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Prema Zakonu o cestama (NN 84/11, 22/13, 54/13, 148/13, 92/14, 110/19, 144/21, 114/22, 4/23 i 133/23), članak 58., Županijska uprava za ceste Zadarske županije obavlja djelatnosti održavanja i građenja županijskih i lokalnih cesta na području Zadarske župa</w:t>
      </w:r>
      <w:r>
        <w:t xml:space="preserve">nije tj. organizira radove redovitog i izvanrednog održavanja i zaštite županijskih i lokalnih cesta prema Pravilniku o održavanju cesta (NN broj 90/14 i 3/21) te organizira rekonstrukciju i izgradnju </w:t>
      </w:r>
      <w:r>
        <w:lastRenderedPageBreak/>
        <w:t>(modernizaciju) županijskih i lokalnih cesta. Osnovni c</w:t>
      </w:r>
      <w:r>
        <w:t>iljevi održavanja cesta su sprječavanje propadanja cestovne infrastrukture i omogućavanje sigurnog odvijanja prometa po mreži javnih cesta. Županijska uprava za ceste također u okviru svoje djelatnosti organizira, odnosno obavlja poslove građenja i rekonst</w:t>
      </w:r>
      <w:r>
        <w:t>rukcije županijskih i lokalnih cesta te ostale poslove upravljanja županijskim i lokalnim cestama. Županijska uprava za ceste Zadarske županije ustanova je registrirana pod matičnim brojem subjekta (MBS) 01327534; osobni identifikacijskim brojem (OIB) 4024</w:t>
      </w:r>
      <w:r>
        <w:t xml:space="preserve">3311947. Identifikacijski broj upisa u Registar proračunskih i izvanproračunskih korisnika je RKP 38181, razina 42 – izvanproračunski korisnik jedinica lokalne i područne (regionalne) samouprave. Osnivač ustanove je Zadarska županija. Ravnatelj Županijske </w:t>
      </w:r>
      <w:r>
        <w:t>uprave za ceste Zadarske županije je Branko Kutija, dipl. inž., imenovan Odlukom o imenovanju ravnatelja od strane Upravnog vijeća, Klasa: 007-02/24-01/2, Urbroj: 2198-1-86-04-24-2 od 4. ožujka 2024. godine.   Županijska uprava za ceste Zadarske županije 3</w:t>
      </w:r>
      <w:r>
        <w:t>1.12.2025. godine ostvarila je ukupno 9.546.359,89 eura prihoda poslovanja. Najveći udio prihoda čine prihodi od naknade za ceste. Ukupni rashodi poslovanja, za ovo izvještajno razdoblje, ostvareni su u iznosu od 7.848.321,86 eura od kojih najveći dio čine</w:t>
      </w:r>
      <w:r>
        <w:t xml:space="preserve"> rashodi za redovito i izvanredno održavanje županijskih i lokalnih cesta. Stoga ostvareni višak prihoda poslovanja (šifra X001) iznosi 1.698.038,03 eura. Manjak prihoda od nefinancijske imovine (šifra Y002) rezultat je ulaganja u tuđu imovinu sukladno spo</w:t>
      </w:r>
      <w:r>
        <w:t>razumu sa Zadarskom županijom o sufinanciranju uređenje novog poslovnog prostora u ul. Ivana Mažuranića 30 u Zadru, realizacije rashoda za građenje županijskih i lokalnih cesta, izradu projektne dokumentacije u svrhu dobivanja građevinske dozvole za izvođe</w:t>
      </w:r>
      <w:r>
        <w:t>nje navedenih radova kao i nabavu novog servera, namještaja i novog službenog vozila.  Stoga je ova Uprava 31.12.2025. ostvarila manjak prihoda i primitaka (šifra Y005) u iznosu od 810.197,19 eura. S obzirom da je ova Uprava 31.12.2024. godine, realizirala</w:t>
      </w:r>
      <w:r>
        <w:t xml:space="preserve"> višak prihoda od 2.400.876,37 eura, koji je posljedica uprihodovanih sredstava temeljem Odluke o dodjeli sredstava županijskim upravama za ceste za potporu održavanju, rekonstrukciji i građenju županijskih i lokalnih cesta u 2024. godini, KLASA: 402-01/24</w:t>
      </w:r>
      <w:r>
        <w:t>-03/195, URBROJ: 530-08-1-1-24-1, od 23. prosinca 2024. godine. Preneseni višak prihoda korigiran je za iznos duplo knjiženog doprinosa za zdravstveno osiguranje za mjesec studeni 2024. u iznosu od 41,46 €, za račun Tiska d.o.o. u iznosu od 39,35 € koji je</w:t>
      </w:r>
      <w:r>
        <w:t xml:space="preserve"> također duplo knjižen u 2024. godini i za iznos od 400,00 € za troškove OVR-911/2023 koji su ovoj upravi refundirani 15.4.2024. Stoga je ova Uprava, na kraju izvještajnog razdoblja ostvarila višak prihoda i primitaka u iznosu od 1.591.159,99 eura.</w:t>
      </w:r>
    </w:p>
    <w:p w:rsidR="00D95F73" w:rsidRDefault="00E857D3">
      <w:r>
        <w:br/>
      </w:r>
    </w:p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8.477.934,97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9.546.359,89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lastRenderedPageBreak/>
        <w:t>Ova uprava je ostvarila prihode poslovanja u 2025. godini veće za 12,6% u odnosu na iste ostvarene u izvještajnom razdoblju prethodne godine. Razlog tome su veći prihodi od naknade za ceste te veći prihodi po osnovi kapitalne pomoći iz državnog proračuna i</w:t>
      </w:r>
      <w:r>
        <w:t xml:space="preserve"> kapitalne pomoći iz proračuna JLP(R)S-a.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proračunu i </w:t>
            </w:r>
            <w:r>
              <w:rPr>
                <w:sz w:val="18"/>
              </w:rPr>
              <w:t>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968.758,33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1.035.801,55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Iznos prihoda od 1.035.801,55 €, evidentiran na navedenom računu za 2025. godinu, posljedica je kapitalne pomoći iz državnog proračuna po osnovi Odluke o dodjeli sredsta</w:t>
      </w:r>
      <w:r>
        <w:t xml:space="preserve">va županijskim upravama za ceste za potporu održavanju, rekonstrukciji i građenju županijskih i lokalnih cesta u 2025. godini, KLASA: 402-01/25-03/239, URBROJ: 530-08-1-1-25-1, od 19. prosinca 2025. godine temeljem koje su ovoj Upravi raspoređena sredstva </w:t>
      </w:r>
      <w:r>
        <w:t>u iznosu od 952.468,22 €. Preostali iznos od 83.333,33 € uprihodovan je temeljem Odluke o dodjeli sredstava županijskim upravama za ceste za potporu građenju biciklističke infrastrukture na županijskim i lokalnim cestama u 2025. godini, KLASA: 011-02/23-01</w:t>
      </w:r>
      <w:r>
        <w:t>/14, URBROJ: 530-08-1-2-25-147, od 10. lipnja 2025. godine.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703.121,94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Na navedenom računu, evidentirani iznos prihoda u 2025. godini od 703.121,94 €, u odnosu na iznos iz 2024. godine od 170.000,00 €, realiziran je za 413,6%. Naved</w:t>
      </w:r>
      <w:r>
        <w:t>eni prihodi odnose se na prihode od JLS-a koje je ova Uprava realizirala temeljem sklopljenog ugovora o zajedničkom financiranju s Gradom Obrovcem za sufinanciranje radova sanacije kolnika lokalne ceste L63086 Nadvoda Ž6027 – Kaštel Žegarski Ž6025 u iznosu</w:t>
      </w:r>
      <w:r>
        <w:t xml:space="preserve"> od 159.121,94 €. Također su i od Zadarske županije uprihodovana sredstva u iznosu od 94.000,00 € u svrhu sufinanciranja izrade projektne dokumentacije te iznos od 450.000,00 €, namijenjen za sufinanciranje radova građenja i održavanja županijskih i lokaln</w:t>
      </w:r>
      <w:r>
        <w:t>ih cesta.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32,8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Realizirana su  u 2025. godini  u iznosu od 844,10 €, odnosno za 32,8% u odnosu na prošlogodišnji iznos realizacije, zbog veće dinamike plaćanja odnosno odljeva novca sa žiro-računa.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ceste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7.336.600,09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7.790.238,25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Prihodi od naknade za ceste najznačajniji je i najveći prihod koji ostvaruje ova Županijska uprava za ceste te je u 2025. godini realiziran za 6,2% više od prošlogodišnje realizacije. U okviru navedene skupine računa, u 2025. godini evidentirani su prihodi</w:t>
      </w:r>
      <w:r>
        <w:t xml:space="preserve"> od naknade za ceste (642410) u iznosu od 7.677.404,08 €, prihodi od naknade za izvanredni prijevoz u iznosu od 2.592,02 €, prihodi od naknade za korištenje cestovnog zemljišta u iznosu od 17.852,00 € te prihodi od naknade za pravo služnosti u iznosu od 92</w:t>
      </w:r>
      <w:r>
        <w:t>.390,15 €. Evidentirano povećanje od 6,2% posljedica je realizacija većih prihoda od naknade za ceste koji je posljedica povećanja broja registriranih vozila u Zadarskoj županiji.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Odnose se na prihodi po osnovi sklopljenih polica osiguranja od šteta na županijskim i lokalnim cestama. Ova uprava je po toj osnovi u 2025. realizirala evidentirani iznos prihoda.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15.417,67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Odnose se na prihod od provedene ovrha i prihod od aktiviranja jamstva za dobro izvršenje posla. U 2024. godini ova uprava nije imala realiziranih prihoda na navedenom računu.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6.687.743,54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7.848.321,86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Ostvareno odstupanje od 17,4% u odnosu na prošlu godinu posljedica je prvenstveno realizacije većih rashoda za redovito i izvanredno održavanje.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298.168,54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358.395,16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Realizirani iznos u 2025. veći je za 20,2%, u odnosu na prošlogodišnji iznos, zbog primanja jednog djelatnika u stalni radni odnos koji je prethodno bio pripravnik i kao takav primao umanjenu plaću.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15.147,32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89,8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Na navedenoj skupini rashoda evidentirani su rashodi za topli obrok te su u 2025. realizirani manje za 10,2% što je posljedica odsutnosti djelatnika s posla (godišnji odmor, bolovanje).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11.775,68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14.701,96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U 2025. godini realizirani su u odnosu na iznos iz 2024. godine, više za 24,9%. Navedeno povećanje posljedica je isplate jubilarnih nagrada.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49.839,38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60.026,11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U 2025. godini njihova realizacija bila je 20,4% veća u odnosu na prošlogodišnji iznos što je uvjetovano i većim rashodima za plaću, stimulaciju i isplatu jubilarnih nagrada.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Rashodi za službena putovanja realizirani su u 2025. za 64,0%. Realizacija navedenih rashoda uvjetovana je potrebama posla i edukacije tj. odlaska na seminare i savjetovanja zbog izmjena propisa koji su relevantni za poslovanje ove uprave.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 xml:space="preserve">Iznos evidentiran na navedenoj rashodovnoj stavci, u 2025. godini, realiziran je za 66,0% u odnosu na iznos realiziran u 2024. godini. Razlog tome su manji troškovi za prijevoz s posla na posao iz razloga što djelatnica (pripravnica) u prošloj godini nije </w:t>
      </w:r>
      <w:r>
        <w:t>imala organiziran javni prijevoz do posla već joj se naknada za isti isplaćivala po broju kilometara.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Rashodi evidentirani za 2025. godinu, realizirani su za 17,7% više u odnosu na iznos evidentiran za 2024. godinu. Razlog tome su veće cijene kotizacije za navedene usluge, a time i veća realizacija navedenih rashoda.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9.799,61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159,5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Evidentirani iznos povećanja od 59,5% u odnosu na prošlogodišnju realizaciju posljedica je preseljenja u nove poslovne prostore odnosno potrebama za istim.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69,9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Iznos od 1.958,80 €, realiziran  je u 2025. godini za 69,9% od prošlogodišnje realizacije. Razlog tome je potreba nabave UPS baterije za server u prošloj godini te nabava novih auto-guma za službena vozila.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5.154.708,82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6.009.842,48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lastRenderedPageBreak/>
        <w:t>Čine najveću rashodovnu stavku uprave te su u 2025. godini realizirani u 16,6% više u odnosu na realizaciju iz 2024. godine. Navedeni rashodi odnose se na  rashode za redovito i izvanredno održavanje županijskih i lokalnih cesta, rashode za tekuće održavan</w:t>
      </w:r>
      <w:r>
        <w:t>je opreme te održavanje prijevoznih sredstava. Razlog veće realizacije spomenutih rashoda su rashodi za redovito održavanje koji su u odnosu na iznos evidentiran za isto razdoblje prethodne godine veći za 16,6 % zbog potrebe za većom sanacijom oštećenja na</w:t>
      </w:r>
      <w:r>
        <w:t>stalih na županijskim i lokalnim cestama.  Također su u 2025. evidentirani i veći rashodi za izvanredno održavanje zbog prenesenog viška prihoda.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81.774,94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59.300,06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72,5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Rashodi za zakupnine i najamnine odnose se na rashode za najam poslovnog i arhivskog prostora ove uprave i rashode za izvlaštenje odnosno zakupnine zemljišta. Rashodi po ovoj osnovi realizirani su za 72,5%, u odnosu na iste iz 2024. godine, zbog većih rash</w:t>
      </w:r>
      <w:r>
        <w:t>oda za izvlaštenje zemljišta koje je ova uprava imala u 2024. godini u svrhu uknjižbe cesta i dobivanja građevinske dozvole za potrebe izvođenja radova građenja.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19.094,81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28.649,43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Evidentirano povećanje od 50,0%, u odnosu na prošlogodišnju realizaciju, posljedica je nadogradnje aplikacijskog pipGIS sustava u svrhu praćenja radova redovitog održavanja i nadogradnje sustava za digitalnu arhivu što je uvjetovalo povećanjem mjesečnog iz</w:t>
      </w:r>
      <w:r>
        <w:t>nosa za održavanje. Povećanje navedenih rashoda uzrokovala je i potreba za obnavljanjem FINA certifikata za digitalni potpis kao i preseljenje u nove poslovne prostore koje je zahtjevalo instalaciju servera na novoj lokaciji kao i umreženje postojećih raču</w:t>
      </w:r>
      <w:r>
        <w:t>nala kako bi se moglo osigurati neometano obavljanje radnih zadataka.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195.835,44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217.931,81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Rashodi za ostale usluge podrazumijevaju rashode za usluge čišćenja, pranja i slično, ostale nespomenute usluge koje se odnose na usluge stanica za tehnički pregled vozila u smislu usluge za naplatu naknade za ceste (cest</w:t>
      </w:r>
      <w:r>
        <w:t>arine) te usluge prikupljanja podataka o broju registriranih vozila i iznosu naplaćene cestarine na području Zadarske županije što je regulirano ugovorima sa stanicama za tehnički pregled. Navedeni rashodi veći su za 11,3% u dijelu rashoda za usluge stanic</w:t>
      </w:r>
      <w:r>
        <w:t>a za tehnički pregled zbog povećanja broja registriranih vozila u 2025. godini.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18.581,14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16.104,19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Rashodi za premije osiguranja realizirani su u odnosu na prošlogodišnji iznos za 86,7%. Manja realizacija posljedica je ne realizacije rashoda po osnovi polica osiguranja od požara i elementarnih šteta, os</w:t>
      </w:r>
      <w:r>
        <w:t>iguranja opće odgovornosti te osiguranja od šteta uzrokovanih izlijetanjem životinja na cestu. S ozbirom da su postojeće police, ugovorene i plaćene u 2024., istekle 31. prosinca 2025. godine, Zadarska županija provela je postupak zajedničke nabave osigura</w:t>
      </w:r>
      <w:r>
        <w:t>nja imovine i osoba za potrebe Zadarske županije i njenih proračunskih i izvanproračunskih korisnika te će se svaka usluga osiguranja ugovoriti pojedinačno za svakog korisnika i naplatiti u 2026. godini.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Rashodi za članarine realizirani su za 83,7% u odnosu na isto obračunsko razdoblje prethodne godine zbog plaćanja manje članarine Udruzi županijskih uprava za ceste.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Iznos od 790,00 €, realiziran u 2025. godini, posljedica je troškova nastalih uslijed provedenog ovršnog postupka.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Evidentirani iznos za 2025. godinu veći je za 36,7% u odnosu na iznos iz 2024. Navedeni rashodi odnose se na rashode za parkiranje službenih vozila, cestarinu na auto-cestama, nadoplatu ENC uređaja i ostalo. Isti su uvjetovani potrebama posla.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65,4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Evidentirani indeks od 65,4% realizacije navedenih rashoda u 2025., u odnosu na 2024., posljedica je realizacije manjih rashoda za usluge platnog prometa (FINA).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Evidentirano je povećanje od 42,1% rashoda za zatezne kamate u odnosu na 2025. godinu zbog provedene ovrhe i kašnjenja u plaćanju računa za slivne vode i visa karticu uslijed nepravovremene dostave računa.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294.815,56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Evidentirani rashodi na skupini 3632 odnose se na kapitalne pomoći Općini Sukošan temeljem sklopljenog Ugovora o sufinanciranju radova izgradnje nogostupa na dijelu županijske ceste Ž6042 u naselju Gorica te Općini Jasenice temeljem sklopljenog Ugovora o s</w:t>
      </w:r>
      <w:r>
        <w:t>ufinanciranju radova izgradnje nogostupa na dijelu lokalne ceste L63159 u naselju Maslenica (Ulica Gojka Šuška), Općini Zemunik za sanaciju kolnika županijske ceste Ž6011 u naselju Zemunik Donji, Općini Sv. Filip i Jakov za sanaciju dijela kolnika županijs</w:t>
      </w:r>
      <w:r>
        <w:t>ke ceste Ž6046 od vodospreme u naselju Sikovo ka naselju Sv. Filip i Jakov. Navedene općine bile su investitori spomenutih radova.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šteta pravnim i fizičkim osobama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50.925,22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Podrazumijevaju realizaciju rashoda za naknadu šteta pravnim i fizičkim osobama od prometnih nezgoda na županijskim i lokalnim cestama, sukladno pravomoćnosti sudskih presuda.  U 2025. realizirani su za svega 6,0%.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1.790.191,43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1.698.038,03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94,9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Ova Uprava ostvarila je navedeni višak poslovanja koji je posljedica uprihodovanih sredstava po osnovi kapitalnih pomoći iz državnog proračuna temeljem Odluke o dodjeli sredstava županijskim upravama za ceste za potporu održavanju, rekonstrukciji i građenj</w:t>
      </w:r>
      <w:r>
        <w:t>u županijskih i lokalnih cesta u 2025. godini i  Odluke o dodjeli sredstava županijskim upravama za ceste za potporu građenju biciklističke infrastrukture na županijskim i lokalnim cestama u 2025. godini.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9.258.814,38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9.910.728,29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Preneseni višak prihoda korigiran je za iznos duplo knjiženog doprinosa za zdravstveno osiguranje za mjesec studeni 2024. u iznosu od 41,46 €, za račun Tiska d.o.o. u iznosu od 39,35 € koji je također duplo knjižen u 2024. godini i za iznos od 400,00 € kor</w:t>
      </w:r>
      <w:r>
        <w:t>ekcija rezultata za troškove OVR-911/2023 koji su ovoj upravi refundirani 15.4.2024.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114.321,27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Odnose se na potraživanja za prihode od Općine Pašman temeljem sklopljenog ugovora o sufinanciranju za sanaciju dijela kolnika županijske ceste Ž6062 u naselju Barotul na otoku Paš</w:t>
      </w:r>
      <w:r>
        <w:t>manu u iznosu od 100.000,00 €, prihode od naknade za ceste za zadnji tjedan mjeseca prosinca u iznosu od 9.148,78 i prihoda koje ova Uprava ostvaruje temeljem Pravilnika o ostvarivanju prava na naknadu iznosa godišnje naknade za uporabu javnih cesta i cest</w:t>
      </w:r>
      <w:r>
        <w:t>arine za uporabu autocesta i objekata s naplatom (NN 55/24), a odnose se na refundaciju cestarine od Ministarstva mora, prometa i infrastrukture za izvršene povrate cestarina invalidnim osobama temeljem prava ostvarenih spomenutim pravilnikom za prosinac 2</w:t>
      </w:r>
      <w:r>
        <w:t>025. u iznosu od 5.172.49 €;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1.342.505,37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2.508.235,22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186,8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 xml:space="preserve">Rashodi za nabavu nefinancijske imovine realizirani su za 86,8% više nego li 2024. godine. Navedeno povećanje posljedica je veće realizacije rashoda za građenje županijskih i lokalnih cesta evidentiranih </w:t>
      </w:r>
      <w:r>
        <w:t>na računu 4213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Iznos od 84.000,00 €, evidentiran na navedenom računu u 2025. godini, kao i iznos od 225.360,00 € evidentiran za 2024. godinu, odnose se na sufinanciranje radova uređenja poslovne zgrade u ul. Ivana Mažuranića 30 u Zadru u svrhu trajnog korištenja poslovno</w:t>
      </w:r>
      <w:r>
        <w:t>g prostora na navedenoj lokaciji koji je u vlasništvu Zadarske županije..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Ceste, </w:t>
            </w:r>
            <w:r>
              <w:rPr>
                <w:sz w:val="18"/>
              </w:rPr>
              <w:t>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1.089.247,96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2.382.215,90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Navedeni rashodi u iznosu od 2.305.778,40 € odnose se na rashode za izgradnju prometnice za budući Centar za gospodarenje otpadom „Biljane Donje“ – križanje D8 u Poličniku/L63056 t</w:t>
      </w:r>
      <w:r>
        <w:t>e rashode za projektnu dokumentaciju u iznosu od 76.437,50 €. U istom razdoblju 2024. realizirani su samo u dijelu rashoda za izradu projektne dokumentacije.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16.119,41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Index odstupanja od 586,7 realizacije navedenih rashoda u odnosu na 2024. godinu, posljedica je nabave novog servera s obzirom da je stari server neispravan.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114.321,27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lastRenderedPageBreak/>
        <w:t>Na navedenom računu evidentirana su potraživanja za neuprihodovani iznos naknade za ceste što se plaća pri registraciji motornih i priključnih vozila, a odnosi se na kraj mjeseca prosinca 2025. godine, u iznosu od 9.148,78 € kao i potraživanja od Ministars</w:t>
      </w:r>
      <w:r>
        <w:t>tva mora, prometa i infrastrukture za iznos godišnje naknade za uporabu javnih cesta za vozila s invaliditetom temeljem Pravilnika o ostvarivanju prava na nadoknadu iznosa godišnje naknade za uporabu javnih cesta i cestarine za uporabu autocesta i objekata</w:t>
      </w:r>
      <w:r>
        <w:t xml:space="preserve"> s naplatom (NN 92/16) u iznosu od 5.5172,49 €, a koji će ovoj Upravi biti doznačen u prvoj polovini siječnja 2026. godine. Preostali iznos od 100.000,00 € odnosi se na potraživanja za prihode od Općine Pašman temeljem sklopljenog ugovora o sufinanciranju </w:t>
      </w:r>
      <w:r>
        <w:t>radova sanacije dijela kolnika županijske ceste Ž6062 u naselju Barotul na otoku Pašmanu.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1.949.090,31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2.401.357,18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Županijska uprava za ceste Zadarske županije, prenijela je višak prihoda od 2.400.876,37 € koji je poslj</w:t>
      </w:r>
      <w:r>
        <w:t>edica  realiziranog viška prihoda u tekućem razdoblju od 810.197,19 € nastalog uslijed uprihodovanih sredstava temeljem Odluke o dodjeli sredstava županijskim upravama za ceste za potporu održavanju, rekonstrukciji i građenju županijskih i lokalnih cesta u</w:t>
      </w:r>
      <w:r>
        <w:t xml:space="preserve"> 2024. godini od 23.12.2024. u iznosu od i Odluke o dodjeli sredstava županijskim upravama za ceste za potporu građenju biciklističke infrastrukture na županijskim i lokalnim cestama u 2024. godini od 4.12.2024. Preneseni višak prihoda korigiran je za izno</w:t>
      </w:r>
      <w:r>
        <w:t>s od 41,46 € doprinosa za zdravstveno osiguranje za 11/24 duplo knjiženog u 2024. godini, za iznos duplo knjiženog računa TISKA d.o.o. u iznosu od 39,35 € i za korekcija rezultata za troškove OVR-911/2023 refundirane ovoj upravi 15.4.2024. te iznosi 2.401.</w:t>
      </w:r>
      <w:r>
        <w:t>357,18 €.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raspoloživ u sljedećem razdoblju (šifre X005 + </w:t>
            </w:r>
            <w:r>
              <w:rPr>
                <w:sz w:val="18"/>
              </w:rPr>
              <w:t>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2.400.876,37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1.591.159,99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Županijska uprava za ceste Zadarske županije, završila je poslovnu godinu s viškom prihoda od 1.591.159,99 € koji je posljedica uprihodovanih sredstava po osnovi Odluke o dodjeli sreds</w:t>
      </w:r>
      <w:r>
        <w:t>tava županijskim upravama za ceste za potporu održavanju, rekonstrukciji i građenju županijskih i lokalnih cesta u 2025. godini, KLASA: 402-01/25-03/239, URBROJ: 530-08-1-1-25-1, od 19. prosinca 2025. godine temeljem koje su ovoj Upravi raspoređena sredstv</w:t>
      </w:r>
      <w:r>
        <w:t xml:space="preserve">a u iznosu od 952.468,22 €. Preostali iznos od 83.333,33 € uprihodovan je temeljem Odluke o </w:t>
      </w:r>
      <w:r>
        <w:lastRenderedPageBreak/>
        <w:t>dodjeli sredstava županijskim upravama za ceste za potporu građenju biciklističke infrastrukture na županijskim i lokalnim cestama u 2025. godini, KLASA: 011-02/23-</w:t>
      </w:r>
      <w:r>
        <w:t>01/14, URBROJ: 530-08-1-2-25-147, od 10. lipnja 2025. godine. Odnosno iznos  od 1.035.801,55 € odnosi se na izvor financiranja - 51 (Pomoći), dok se preostali dio od 555.358,44 odnosi na izvor financiranja – 11 (Vlastiti).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2.184.699,60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2.715.996,06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Stanje novčanih sredstava na kraju izvještajnog razdoblja posljedica je uprihodovanih sredstava temeljem kapitalne pomoći državnog proračuna na osnovu Odluke o dodjeli sredstava županijskim upravama za ceste za potporu održavanju, rekonstrukciji i građenju</w:t>
      </w:r>
      <w:r>
        <w:t xml:space="preserve"> županijskih i lokalnih cesta u 2025. godini koja su uplaćena na žiro-račun ove uprave krajem prosinca 2025.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703.121,94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Evidentirani iznos od 703.121,94 €, u odnosu na iznos iz 2024. godine od 170.000,00 €, realiziran je za 413,6. Navedeni prihodi odnose se na prihode od JLS-a koje je ova Uprava realizirala temeljem sklopljenog ugovora o zajedničkom financiranju s Gradom Ob</w:t>
      </w:r>
      <w:r>
        <w:t>rovcem za sufinanciranje radova sanacije kolnika lokalne ceste L63086 Nadvoda Ž6027 – Kaštel Žegarski Ž6025 u iznosu od 159.121,94 €. Također su i od Zadarske županije uprihodovana sredstva u iznosu od 94.000,00 € u svrhu sufinanciranja izrade projektne do</w:t>
      </w:r>
      <w:r>
        <w:t>kumentacije te iznos od 450.000,00 €, namijenjen za sufinanciranje radova građenja i održavanja županijskih i lokalnih cesta.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Prikazani indeks ostvarnih rashoda u 2025., u odnosu na prethodnu godinu posljedica je manjih rashoda nastalih uslijed obračuna putnih troškova s ozbirom da jedna djelatnica (pripravnica) nije imala organiziran javni prijevoz pa su joj se troškovi prijevoz</w:t>
      </w:r>
      <w:r>
        <w:t>a obračunavali po km.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za zemljišta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34.663,18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12.188,30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Navedeni rashodi posljedica su potrebe za izvlaštenjem zemljišta u svrhu dobivanja građevinske dozvole za realizaciju radova građenja županijskih i lokalnih cesta. Navedeni rashodi isplaćivali su se vlasnicima zemljišta sukladno nagodbi u svrhu izvlaštenja</w:t>
      </w:r>
      <w:r>
        <w:t xml:space="preserve"> za rekonstrukciju županijske ceste Ž6008 u Starigradu.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Veći rashodi za premije osiguranja zaposlenih u 2025. godini posljedica su povećanja cijene polica za sistematski pregled djelatnika.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općinskim proračunima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294.815,56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lastRenderedPageBreak/>
        <w:t>Odnose se na kapitalne pomoći Općini Sukošan temeljem sklopljenog Ugovora o sufinanciranju radova izgradnje nogostupa na dijelu županijske ceste Ž6042 u naselju Gorica te Općini Jasenice temeljem sklopljenog Ugovora o sufinanciranju radova izgradnje nogost</w:t>
      </w:r>
      <w:r>
        <w:t>upa na dijelu lokalne ceste L63159 u naselju Maslenica (Ulica Gojka Šuška), Općini Zemunik za sanaciju kolnika županijske ceste Ž6011 u naselju Zemunik Donji, Općini Sv. Filip i Jakov za sanaciju dijela kolnika županijske ceste Ž6046 od vodospreme u naselj</w:t>
      </w:r>
      <w:r>
        <w:t>u Sikovo ka naselju Sv. Filip i Jakov. Navedene općine bile su investitori spomenutih radova.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1.151.483.055,32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1.154.832.861,46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Evidentirano je povećanje imovine za izradu projektne dokumentacije kao preduvjeta za izvođenja radova građenja i rekonstrukcije županijskih i lokalnih cesta. Također je evidentirano i povećanje imovine suklad</w:t>
      </w:r>
      <w:r>
        <w:t>no Odluci o razvrstavanju javnih cesta (NN 109/25) kojom je ova uprava dobila u nadležnost tri nove lokalne ceste.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58.325,25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74.444,66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Nabavljena je novi server te je stanje imovine na dan 31. prosinca 2025. uvećano za 27,6% u odnosu na početno stanje 1. siječnja.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40.290,65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66.190,56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Evidentirano je odstupanje od 64,3% što je posljedica nabave novog službenog vozila.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1.156.493,47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3.558.271,87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Navedeni indeks poslijedica je rashoda nastalih uslijed izgradnje prometnice za budući Centar za gospodarenje otpadom „Biljane Donje“ – križanje D8 u Poličniku/L63056.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2.715.053,84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1.944.219,27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Stanje novca na žiro-računu Županijske uprave za ceste Zadarske županije posljedica je uprihodovanih sredstava iz državnog proračuna 30. prosinca 2025. i plaćanja svih dospjelih računa čemu govori u prilog podataka da ova uprava 31.12.2025. nema dospijelih</w:t>
      </w:r>
      <w:r>
        <w:t xml:space="preserve"> obveza.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Odnose se na potraživanja koja se refundiraju odnosno potraživanje prema Gradu Zadru u iznosu od 1.394,19 € temeljem Pravilnika o naplati godišnje naknade za uporabu javnih cesta što se plaća pri registraciji motornih i priključnih vozila (NN 130/12) za ob</w:t>
      </w:r>
      <w:r>
        <w:t>računate usluge stanica za tehnički pregled vozila za mjesec prosinac 2025. godine,  potraživanja za akontaciju troškova vještačenja u sudskom predmetu u iznosu od 800,00 € te potraživanja za pretplatu za račun TISKA d.o.o. u iznosu od 46,93 €.</w:t>
      </w:r>
    </w:p>
    <w:p w:rsidR="00D95F73" w:rsidRDefault="00E857D3">
      <w:r>
        <w:t>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Odnose se na potraživanje za prihode od Općine Pašman temeljem sklopljenog ugovora o sufinanciranju radova sanacije dijela kolnika županijske ceste Ž6062 u naselju Barotul na otoku Pašmanu.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</w:t>
            </w:r>
            <w:r>
              <w:rPr>
                <w:b/>
                <w:sz w:val="18"/>
              </w:rPr>
              <w:t>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64,1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 xml:space="preserve">Odnose se na potraživanja potraživanja za neuprihodovani iznos naknade za ceste što se plaća pri registraciji motornih i priključnih vozila, a odnosi se na kraj mjeseca prosinca 2025. godine, u iznosu od 9.148,78 € kao i potraživanja od Ministarstva mora, </w:t>
      </w:r>
      <w:r>
        <w:t>prometa i infrastrukture za iznos godišnje naknade za uporabu javnih cesta za vozila s invaliditetom temeljem Pravilnika o ostvarivanju prava na nadoknadu iznosa godišnje naknade za uporabu javnih cesta i cestarine za uporabu autocesta i objekata s naplato</w:t>
      </w:r>
      <w:r>
        <w:t>m (NN 92/16) u iznosu od 5.172,49 €, a koji će ovoj Upravi biti doznačen u prvoj polovini siječnja 2026. godine.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32.060,94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35.362,04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Navedene obveze odnose se na obveze za netto plaću, poreze i doprinose za prosinac 2025. godine. Navedeno povećanje posljedica je povećanja plaće djelatniku koji je odradio pripravnički staž.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283.922,60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369.133,62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Na dan 31. prosinca 2025. evidentirane su u iznosu 30,0% više od salda 1. siječnja 2025. Saldo navedenih obveza sastoji se od obveza za naknade za prijevoz s posla i na posao za mjesec prosinac 2025. u iznosu od 797,46 €, obveze za energiju (utrošak elektr</w:t>
      </w:r>
      <w:r>
        <w:t>ične energije i troškovi goriva) za mjesec prosinac 2025. u iznosu od 1.218,12 €, obveza za usluge telefona, pošte i prijevoza za prosinac 2025. u iznosu od 592,16 €, obveze za usluge tekućeg i investicijskog održavanja opreme za prosinac 2025. u iznosu od</w:t>
      </w:r>
      <w:r>
        <w:t xml:space="preserve"> 169,56 €, obveze za usluge redovitog održavanja županijskih i lokalnih cesta za prosinac 2025. u iznosu od 265.545,30 €, obveze za usluge izvanrednog održavanja fakturirane 31.12.2025. u iznosu od 82.856,25 €, obveze za usluge promidžbe i informiranja za </w:t>
      </w:r>
      <w:r>
        <w:t>prosinac 2025. u iznosu od 842,75 €, obveze za komunalne usluge za prosinac 2025. u iznosu od 203,22 €, obveze za najam arhivskog i poslovnog prostora prostora te obveze za leasing službenih vozila za prosinac 2025. u iznosu od 3.075,73 €, obveze za usluge</w:t>
      </w:r>
      <w:r>
        <w:t xml:space="preserve"> nadzora radova građenja servisne ceste za Centar za gospodarenje otpadom “Biljane Donje” u iznosu od 3.600,00 €, obveze za računalne usluge u iznosu od 137,50 € te obveze za ostale usluge (usluge koje ova Uprava plaća stanicama za tehnički pregled vozila </w:t>
      </w:r>
      <w:r>
        <w:t xml:space="preserve">za obavljene usluge naplate cestarine i vođenje evidencije o naplati istih) za prosinac 2025. u iznosu od 10.095,57 €. Navedene obveze veće su u odnosu na saldo 1. siječnja zbog evidentiranih obveza za usluge izvanrednog održavanja koje nisu imale početni </w:t>
      </w:r>
      <w:r>
        <w:t>stanje.</w:t>
      </w:r>
    </w:p>
    <w:p w:rsidR="00D95F73" w:rsidRDefault="00E857D3">
      <w:r>
        <w:t>Navedene obveze dospijevaju u siječnju 2026. godine.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Evidentirane na dan 31. prosinca 2025. godine, odnose se na bankarske usluge i usluge platnog prometa Privredne banke Zagreb d.d. i FINE, za mjesec prosinac 2025. godine. Veće su za 17,0% u odnosu na početno stanje zbog usluga banke vezane za vođenje žiro-</w:t>
      </w:r>
      <w:r>
        <w:t>računa s ozbzirom da  su iste uvjetovane dinamikom i količinom naplate računa odnosno odljeva novca kao i priljeva novca.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58.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</w:t>
            </w:r>
            <w:r>
              <w:rPr>
                <w:sz w:val="18"/>
              </w:rPr>
              <w:t>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2.400.876,37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1.591.159,99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Županijska uprava za ceste Zadarske županije na dan 31. prosinca 2025. godine ostvarila je višak prihoda u iznosu od 1.591.159,99 €. Navedeni iznos viška prihoda sastoji se od uprihodovanih sredstava p</w:t>
      </w:r>
      <w:r>
        <w:t xml:space="preserve">o osnovi Odluke o dodjeli sredstava županijskim upravama za ceste za potporu održavanju, rekonstrukciji i građenju županijskih i lokalnih cesta u 2025. godini, KLASA: 402-01/25-03/239, URBROJ: 530-08-1-1-25-1, od 19. prosinca 2025. godine temeljem koje su </w:t>
      </w:r>
      <w:r>
        <w:t xml:space="preserve">ovoj Upravi raspoređena sredstva u iznosu od 952.468,22 €. Preostali iznos od 83.333,33 € uprihodovan je temeljem Odluke o dodjeli sredstava županijskim upravama za ceste za potporu građenju biciklističke infrastrukture na županijskim i lokalnim cestama u </w:t>
      </w:r>
      <w:r>
        <w:t>2025. godini, KLASA: 011-02/23-01/14, URBROJ: 530-08-1-2-25-147, od 10. lipnja 2025. godine. Odnosno iznos  od 1.035.801,55 € odnosi se na izvor financiranja - 51 (Pomoći), dok se preostali dio od 555.358,44 odnosi na izvor financiranja – 11 (Vlastiti).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9.910.247,48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9.869.842,83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Preneseni višak prihoda korigiran je za iznos od 41,46 € doprinosa za zdravstveno osiguranje za 11/24 duplo knjiženog u 2024. godini, za iznos duplo knjiženog računa TISKA d.o.o. u iznosu od 39,35 € i za korekcija rezultata za troškove OVR-911/2023 refundi</w:t>
      </w:r>
      <w:r>
        <w:t>rane ovoj upravi 15.4.2024.. </w:t>
      </w:r>
    </w:p>
    <w:p w:rsidR="00D95F73" w:rsidRDefault="00E857D3">
      <w:pPr>
        <w:jc w:val="both"/>
      </w:pPr>
      <w:r>
        <w:t>Izvršena je obvezna korekcija rezultata za iznose koji su bili evidentirani na računima kapitalnih prijenosa sredstava, a utrošeni su za nabavu dugotrajne nefinancijske imovine na način da smo zadužili višak prihoda poslovanja</w:t>
      </w:r>
      <w:r>
        <w:t>, a odobrili manjak prihoda od nefinancijske imovine. </w:t>
      </w:r>
    </w:p>
    <w:p w:rsidR="00D95F73" w:rsidRDefault="00E857D3">
      <w:r>
        <w:t>31. prosinca 2025. godine evidentirana su na računima kapitalnih projekata sredstva u iznosu od 1.138.758,33 €, koji su utrošeni za nabavu dugotrajne nefinancijske imovine.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63321 – kapitalne pomoći iz državnog proračuna – 1,035,801.55 €, IF (Pomoći državnog proračuna 51);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63623 - kapitalne pomoći proračunskim korisnicima iz proračuna JLP(R)S – 703.121,94 €, IF (Pomoći proračuna JLP(R)S 53).</w:t>
      </w:r>
    </w:p>
    <w:p w:rsidR="00D95F73" w:rsidRDefault="00E857D3">
      <w:r>
        <w:lastRenderedPageBreak/>
        <w:t>Navedenim prihodima pokriveni su ra</w:t>
      </w:r>
      <w:r>
        <w:t>shodi za nabavu dugotrajne financijske imovine odnosno za radove građenja pristupne ceste za Centar za gospodarenje otpadom CGO „Biljane Donje“ 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5.921.658,04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6.690.969,77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Izvršena je obvezna korekcija rezultata za iznose koji su bili evidentirani na računima kapitalnih prijenosa sredstava, a utrošeni su za nabavu dugotrajne nefinancijske imovine na način da smo zadužili višak prihoda poslovanja, a odobrili manjak prihoda od</w:t>
      </w:r>
      <w:r>
        <w:t xml:space="preserve"> nefinancijske imovine. </w:t>
      </w:r>
    </w:p>
    <w:p w:rsidR="00D95F73" w:rsidRDefault="00E857D3">
      <w:r>
        <w:t>31. prosinca 2025. godine evidentirana su na računima kapitalnih projekata sredstva u iznosu od 1.138.758,33 €, koji su utrošeni za nabavu dugotrajne nefinancijske imovine.</w:t>
      </w:r>
    </w:p>
    <w:p w:rsidR="00D95F73" w:rsidRDefault="00E857D3">
      <w:r>
        <w:t>63321 – kapitalne pomoći iz državnog proračuna – 1,035,801</w:t>
      </w:r>
      <w:r>
        <w:t>.55 €, IF (Pomoći državnog proračuna 51);</w:t>
      </w:r>
      <w:r>
        <w:br/>
        <w:t>63623 - kapitalne pomoći proračunskim korisnicima iz proračuna JLP(R)S – 703.121,94 €, IF (Pomoći proračuna JLP(R)S 53).</w:t>
      </w:r>
      <w:r>
        <w:br/>
        <w:t xml:space="preserve">Navedenim prihodima pokriveni su rashodi za nabavu dugotrajne financijske imovine odnosno za </w:t>
      </w:r>
      <w:r>
        <w:t>radove građenja pristupne ceste za Centar za gospodarenje otpadom CGO „Biljane Donje“ 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114.321,27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Na navedenom računu evidentirana su potraživanja za neuprihodovani iznos naknade za ceste što se plaća pri registraciji motornih i priključnih vozila, a odnosi se na kraj mjeseca prosinca 2025. godine, u iznosu od 9.148,78 € kao i potraživanja od Ministars</w:t>
      </w:r>
      <w:r>
        <w:t>tva mora, prometa i infrastrukture za iznos godišnje naknade za uporabu javnih cesta za vozila s invaliditetom temeljem Pravilnika o ostvarivanju prava na nadoknadu iznosa godišnje naknade za uporabu javnih cesta i cestarine za uporabu autocesta i objekata</w:t>
      </w:r>
      <w:r>
        <w:t xml:space="preserve"> s naplatom (NN 92/16) u iznosu od 5.172,49 €, a koji će ovoj Upravi biti doznačen u prvoj polovini siječnja 2026. godine. Preostali iznos od 100.000,00 € odnosi se na potraživanja za prihode od Općine Pašman </w:t>
      </w:r>
      <w:r>
        <w:lastRenderedPageBreak/>
        <w:t>temeljem sklopljenog ugovora o sufinanciranju r</w:t>
      </w:r>
      <w:r>
        <w:t>adova sanacije dijela kolnika županijske ceste Ž6062 u naselju Barotul na otoku Pašmanu.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Obračunate pomoći iz inozemstva i od subjekata unutar općeg </w:t>
            </w:r>
            <w:r>
              <w:rPr>
                <w:sz w:val="18"/>
              </w:rPr>
              <w:t>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Iznos od 100.000,00 € odnosi se na potraživanja za prihode od Općine Pašman temeljem sklopljenog ugovora o sufinanciranju radova sanacije dijela kolnika županijske ceste Ž6062 u naselju Barotul na otoku Pašmanu.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Iznos od 100.000,00 € odnosi se na potraživanja za prihode od Općine Pašman temeljem sklopljenog ugovora o sufinanciranju radova sanacije dijela kolnika županijske ceste Ž6062 u naselju Barotul na otoku Pašmanu.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64,1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 xml:space="preserve">Evidentirana su potraživanja za neuprihodovani iznos naknade za ceste što se plaća pri registraciji motornih i priključnih vozila, a odnosi se na kraj mjeseca prosinca 2025. godine, u iznosu od 9.148,78 € kao i potraživanja od Ministarstva mora, prometa i </w:t>
      </w:r>
      <w:r>
        <w:t>infrastrukture za iznos godišnje naknade za uporabu javnih cesta za vozila s invaliditetom temeljem Pravilnika o ostvarivanju prava na nadoknadu iznosa godišnje naknade za uporabu javnih cesta i cestarine za uporabu autocesta i objekata s naplatom (NN 92/1</w:t>
      </w:r>
      <w:r>
        <w:t>6) u iznosu od 5.172,49 €, a koji će ovoj Upravi biti doznačen u prvoj polovini siječnja 2026. godine.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23.267.215,15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13.012.588,77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Evidentirani iznos salda 31.12.2025. od 13.012.588,77 € sastoji se od: 1.874.042,86 € za jamstva (bankovne garancije), 645.565,01 € potencijalnih obveza po osnovi sudskih sporova u tijeku i 10.492.980,90 € preuzetih obvez</w:t>
      </w:r>
      <w:r>
        <w:t>a po ugovorima o nabavi roba, radova i usluga.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23.267.215,15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13.012.588,77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>Evidentirani iznos salda 31.12.2025. od 13.012.588,77 € sastoji se od: 1.874.042,86 € za jamstva (bankovne garancije), 645.565,01 € potencijalnih obveza po osnovi sudskih sporova u tijeku i 10.492.980,90 € preuzetih obveza po ugovorima o nabavi roba, radov</w:t>
      </w:r>
      <w:r>
        <w:t>a i usluga.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pPr>
        <w:jc w:val="both"/>
      </w:pPr>
      <w:r>
        <w:t xml:space="preserve">Odnose se na potraživanja prema Gradu Zadru za obračunate usluge stanica za tehnički pregled vozila za mjesec prosinac 2025. godine temeljem Pravilnika o naplati godišnje naknade za uporabu javnih cesta što se plaća pri registraciji motornih i priključnih </w:t>
      </w:r>
      <w:r>
        <w:t>vozila (NN 130/12) kojim je određen postotak od 8,2% i vrsta prihoda koju je ŽUC dužan mjesečno uplaćivati Gradu Zadru, a isto tako i obveze koje je Grad Zadar dužan podmirivati prema ŽUC-u. </w:t>
      </w:r>
    </w:p>
    <w:p w:rsidR="00D95F73" w:rsidRDefault="00E857D3">
      <w:r>
        <w:t>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68.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Odnosi se na potraživanja za predujam u predmetu 42 Pn-88/2023 za troškove medicinsko-prometnog vještaćenja u iznosu od 700,00 €  te troškove toksikološkog vještaćenja u predmetu Pn-1880/2024-16. S obzirom da oba sudska spora još nisu završena evidentirano</w:t>
      </w:r>
      <w:r>
        <w:t xml:space="preserve"> je saldo na potraživanju.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362.615,73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541.253,30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Saldo obveza Županijske uprave za ceste Zadarske županije na dan 31. prosinca 2025. godine iznosi 541.253,30 € i odnosi se na nedospjele obveze i to: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brutto plaću za mjesec prosinac u iznosu od 34.152,33 €;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topli obrok za mjesec prosina</w:t>
      </w:r>
      <w:r>
        <w:t>c u iznosu od 1.209,71 €;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prijevoz s posla i na posao za mjesec prosinac u iznosu od 797,46 €;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energiju (eletkrična energija i gorivo) za mjesec prosinac u iznosu od 1.218,12 €;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usluge telefona, pošte i prijevoza za prosinac u iznosu od 592,16 €;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usluge tekućeg i investicijskog održavanja (paušalni iznos za održavanje printera) za prosinac u iznosu od 169,56 €;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 xml:space="preserve">Obveze za usluge redovitog održavanja županijskih </w:t>
      </w:r>
      <w:r>
        <w:t>i lokalnih cesta za prosinac u iznosu od 265.545,30 €;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izvanredno održavanje županijskih i lokalnih cesta - račun za ugradnju pokazivača brzine fakturiran 31.12.2025. u iznosu od 82.856,25 €,</w:t>
      </w:r>
    </w:p>
    <w:p w:rsidR="00D95F73" w:rsidRDefault="00E857D3">
      <w:pPr>
        <w:pStyle w:val="Odlomakpopisa"/>
        <w:numPr>
          <w:ilvl w:val="0"/>
          <w:numId w:val="1"/>
        </w:numPr>
      </w:pPr>
      <w:r>
        <w:t xml:space="preserve">Obveze za usluge promidžbe i informiranja za prosinac </w:t>
      </w:r>
      <w:r>
        <w:t>u iznosu od 842,75 €;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komunalne usluge za prosinac u iznosu od 203,22 €;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zakupnine i najamnine za poslovni i arhivnski prostor za mjesec prosinac u iznosu od 3.075,73 €;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intelektualne i osobne usluge za fakturiranu uslugu nadz</w:t>
      </w:r>
      <w:r>
        <w:t>ora izgradnje servisne ceste za CGO Biljane Donje 31.12.2025. u iznosu od 3.600,00 €;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računalne usluge u iznosu od 137,50 € za paušalni iznos održavanje web stranice za prosinac 2025.;</w:t>
      </w:r>
    </w:p>
    <w:p w:rsidR="00D95F73" w:rsidRDefault="00E857D3">
      <w:pPr>
        <w:pStyle w:val="Odlomakpopisa"/>
        <w:numPr>
          <w:ilvl w:val="0"/>
          <w:numId w:val="1"/>
        </w:numPr>
      </w:pPr>
      <w:r>
        <w:t>Obveze za ostale usluge odnose se na obveze prema stanicama za tehnički pregled koje ova uprava plaća mjesečno sukladno ugovoru u svrhu usluge naplate cestarine i vođenja evidencije o naplati iste. Evidentirani iznos od 10.095,57 € odnosi se na obvezu za p</w:t>
      </w:r>
      <w:r>
        <w:t>rosinac;</w:t>
      </w:r>
    </w:p>
    <w:p w:rsidR="00D95F73" w:rsidRDefault="00E857D3">
      <w:pPr>
        <w:pStyle w:val="Odlomakpopisa"/>
        <w:numPr>
          <w:ilvl w:val="0"/>
          <w:numId w:val="1"/>
        </w:numPr>
      </w:pPr>
      <w:r>
        <w:lastRenderedPageBreak/>
        <w:t>Obveze za bankarske usluge i usluge platnog prometa za prosinac u iznosu od 261,83 €;</w:t>
      </w:r>
    </w:p>
    <w:p w:rsidR="00D95F73" w:rsidRDefault="00E857D3">
      <w:pPr>
        <w:pStyle w:val="Odlomakpopisa"/>
        <w:numPr>
          <w:ilvl w:val="0"/>
          <w:numId w:val="1"/>
        </w:numPr>
        <w:jc w:val="both"/>
      </w:pPr>
      <w:r>
        <w:t>Obveze za tekuće pomoći drugom proračunu i izvanproračunskim korisnicima - odnosi se na obvezu prema Gradu Zadru za prosinac u iznosu od 53.162,48 € - Odlukom mi</w:t>
      </w:r>
      <w:r>
        <w:t>nistra pomorstva, prometa i infrastrukture u 2012. izvršeno je razvrstavanje javnih cesta (NN 44/12) te je istodobno donesena Odluka o cestama na području velikih gradova koje prestaju biti razvrstane u javne ceste. S obzirom da se navedenim aktima odredil</w:t>
      </w:r>
      <w:r>
        <w:t>a promjena upravitelja cesta tako je temeljem Pravilnika o naplati godišnje naknade za uporabu javnih cesta što se plaća pri registraciji motornih i priključnih vozila (NN 130/12) određen postotak od 8,2% i vrsta prihoda koju je ŽUC dužan mjesečno uplaćiva</w:t>
      </w:r>
      <w:r>
        <w:t>ti Gradu Zadru, a isto tako i obveze koje je Grad Zadar dužan podmirivati prema ŽUC-u;</w:t>
      </w:r>
    </w:p>
    <w:p w:rsidR="00D95F73" w:rsidRDefault="00E857D3">
      <w:pPr>
        <w:pStyle w:val="Odlomakpopisa"/>
        <w:numPr>
          <w:ilvl w:val="0"/>
          <w:numId w:val="1"/>
        </w:numPr>
        <w:jc w:val="both"/>
      </w:pPr>
      <w:r>
        <w:t>Obveze za kapitalne pomoći drugom proračunu i izvanproračunskim korisnicima - saldo obveze u iznosu od 83.333,33 odnosi se na obvezu prema Gradu Ninu sukladno sklopljeno</w:t>
      </w:r>
      <w:r>
        <w:t>m ugovoru o zajedničkom sufinanciranju za izgradnju biciklističke staze uz lokalnu cestu L63049.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danim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2.276.949,01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1.874.042,86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82,3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Saldo potencijalnih obveza po danim jamstvima 1. siječnja iznosio je 2.276.949,01 €.  Ova uprava je u 2025. zaprimila bankovnih garancija u vrijednosti od 526.132,36 €, a izvršila je povrat od 929.038,51 € što je rezultiralom prikazanim saldom 31.12.2025.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681.105,80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645.565,01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Ova uprava je u 2025. pokrenula novi spor u vrijednosti od 1.500,00 €, a sva su spora završena i to u vrijednosti od 37.040,79 €.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72.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Preuzete obveze </w:t>
            </w:r>
            <w:r>
              <w:rPr>
                <w:sz w:val="18"/>
              </w:rPr>
              <w:t>po ugovorima o nabavi roba, radova i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20.309.160,34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10.492.980,90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Ova uprava je u 2025. izvršila vrijenosti ugovora 11.787.508,75 €, a neizvršenih obveza po ugovorima evidentirano je u vrijednosti 1.971.329,31€.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Cestovni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8.030.248,91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10.356.557,08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Odstupanje od 29,0 posljedica je veće realizacije rashoda za redovito i izvanredno održavanje te građenje županijskih i lokalnih cesta u odnosu na prethodnu godinu.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46.130.249,88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Navedeni podatak odnosi se na ispravak vrijednosti proizvedene dugotrajne imovine za 2025.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3.285.368,64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lastRenderedPageBreak/>
        <w:t>Evidentirano je povećanje vrijednosti proizvedene dugotrajne imovine u iznosu od 3.285.368,64 € koje je posljedica evidentiranja tri nove lokalne ceste sukladno Odluci o razvrstavanju javnih cesta (NN 109/25) od 28. Srpnja 2025 i to:</w:t>
      </w:r>
    </w:p>
    <w:p w:rsidR="00D95F73" w:rsidRDefault="00E857D3">
      <w:r>
        <w:t>·         lokalne cest</w:t>
      </w:r>
      <w:r>
        <w:t>e L63217, dionica: Kokići - Pridraga (L63072);</w:t>
      </w:r>
    </w:p>
    <w:p w:rsidR="00D95F73" w:rsidRDefault="00E857D3">
      <w:r>
        <w:t>·         lokalne ceste L63218, dionica: Pašman (D110-Ž6062);</w:t>
      </w:r>
    </w:p>
    <w:p w:rsidR="00D95F73" w:rsidRDefault="00E857D3">
      <w:r>
        <w:t>·         lokalne ceste L63219, dionica: Lovinac (L63059) - Poličnik (Ž6014).</w:t>
      </w:r>
    </w:p>
    <w:p w:rsidR="00D95F73" w:rsidRDefault="00E857D3">
      <w:r>
        <w:t>Imovina je dobivena bez procjene te je procjenu napravila ova uprava.</w:t>
      </w:r>
    </w:p>
    <w:p w:rsidR="00D95F73" w:rsidRDefault="00E857D3">
      <w:r>
        <w:t>Iznos smanjenja od 552,81 €, odnosi se na rashodovana osnovna sredstva (namještaj) sukladno Odluci, KLASA: 406-01/25-01/1, UR. BROJ: 2198-1-86-05-25-3.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446.801,03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Povećanje obveza za zaposlene uslijedilo je uslijed isplate brutto plaće za svih 12 mjeseci 2025., isplate naknade za bolovanja, naknade za regres i božićnicu, naknade za topli obrok te jubilarnih nagrada i darova za djecu.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6.550.411,81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 xml:space="preserve">Obveze za materijalne rashode uvećane su za obveze za naknade troškova zaposlenima (službena putovanja, naknade za prijevoz i strušno usavršavanje u iznosu od 14.985,54 €, obveze za rashode za materijal i energiju u iznosu od 21.333,57 €, obveze za rashde </w:t>
      </w:r>
      <w:r>
        <w:t>za usluge (usluge telefona, pošte i prijevoza, usluge tekućeg i investicijskog održavanja, usluge redovitog i izvanrednog održavanja cesta, usluge promidžbe i informiranja, komunalne usluge, zakupnine i najamnine, intelektualne usluge, računalne usluge i o</w:t>
      </w:r>
      <w:r>
        <w:t>stale usluge) u iznosu od 6.471.163,76 €, obveze za naknade troškova osobama izvan radnog odnosa (naknada za upravno vijeće) u iznosu od 6.635,88 € te obveze za ostale nespomenute rashode poslovanja (članarine, pristojbe i naknade, obveze za troškove sudsk</w:t>
      </w:r>
      <w:r>
        <w:t>ih postupaka i ostali nespomenuti rashodi poslovanja-usluge stanica za tehnički pregled i slivne vode) u iznosu od 36.293,06 €.</w:t>
      </w:r>
    </w:p>
    <w:p w:rsidR="00D95F73" w:rsidRDefault="00E857D3">
      <w:r>
        <w:lastRenderedPageBreak/>
        <w:t>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Obveze za financijske rashode uvećane su za 1.853,20 €, a odnose se na obveze za bankarske usluge i usluge platnog prometa i obveze za zatezene kamate.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pomoći dane u </w:t>
            </w:r>
            <w:r>
              <w:rPr>
                <w:sz w:val="18"/>
              </w:rPr>
              <w:t>inozemstvo i unutar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1.007.696,04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Obveze na računu 236 odnose se na obveze za tekuće pomoći drugom proračunu i izvanproračunskim korisnicima u iznosu od 629.547,15 €, a odnose se na obveze prema Gradu Zadru temeljem Pravilnika o naplati godišnje naknade za uporabu javnih cesta što se plaća</w:t>
      </w:r>
      <w:r>
        <w:t xml:space="preserve"> pri registraciji motornih i priključnih vozila (NN 130/12) koje je ova Uprava dužna uplaćivati mjesečno. Također su na navedenom računu evidentirane i obveze za kapitalne pomoći drugom proračunu i izvanproračunskim korisnicima u iznosu od 378.148,89€ i to</w:t>
      </w:r>
      <w:r>
        <w:t xml:space="preserve"> prema Općini Sukošan temeljem sklopljenog Ugovora o sufinanciranju radova izgradnje nogostupa na dijelu županijske ceste Ž6042 u naselju Gorica te Općini Jasenice temeljem sklopljenog Ugovora o sufinanciranju radova izgradnje nogostupa na dijelu lokalne c</w:t>
      </w:r>
      <w:r>
        <w:t>este L63159 u naselju Maslenica (Ulica Gojka Šuška), Općini Zemunik za sanaciju kolnika županijske ceste Ž6011 u naselju Zemunik Donji, Općini Sv. Filip i Jakov za sanaciju dijela kolnika županijske ceste Ž6046 od vodospreme u naselju Sikovo ka naselju Sv.</w:t>
      </w:r>
      <w:r>
        <w:t xml:space="preserve"> Filip i Jakov. Navedene općine bile su investitori spomenutih radova.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donacije, kazne, naknade šteta i kapitalne pomoći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Evidentirani iznos posljedica je nastale obveze za isplatu paušalne rente sukladno sudskoj presudi za naknadu štete koju ova uprava isplaćuje oštećenoj stranci sukladno sudskoj presudi.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Odnose se na ostale nespomenute obveze.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2.508.235,22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Iznos povećanja obveza za nabavu nefinancijske imovine odnosi se na: ulaganje u tuđu imovinu u iznosu od 84.000,00 € za sufinanciranje radova poslovnog prostora u ulici Ivana Mažuranića 30 u Zadru temeljem sklopljenog sporazuma sa Zadarskom županijom; građ</w:t>
      </w:r>
      <w:r>
        <w:t>enje servisne ceste za Centar za gospodarenje otpadom Biljane Donje u iznosu od 2.382.215,90 €, nabavu novog servera i kuhinje u iznosu od 16.119,41 € zbog preseljenja u novi poslovni prostor te nabave novog službenog vozila u iznosu od 25.899,91 €.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83.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Odnosi se na obvezu za jamstvo na ponudu u postupku javne nabave.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443.499,93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Podmirene su obveze  osim brutto plaće za prosinac 2025. koja je isplaćena u siječnju 2026.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85.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6.465.200,79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Obveze za materijalne rashode podmirene su: u iznosu od 14.939,30 € obveza za naknade troškova zaposlenima (službena putovanja, naknade za prijevoz i strušno usavršavanje, u iznosu od 21.401,94 € za obveze za rashode za materijal i energiju, u iznosu od 6.</w:t>
      </w:r>
      <w:r>
        <w:t>385.902,74 € obveza za rashode za usluge (usluge telefona, pošte i prijevoza, usluge tekućeg i investicijskog održavanja, usluge redovitog i izvanrednog održavanja cesta, usluge promidžbe i informiranja, komunalne usluge, zakupnine i najamnine, intelektual</w:t>
      </w:r>
      <w:r>
        <w:t>ne usluge, računalne usluge i ostale usluge),  u iznosu od 6.635,88 € obveze za naknade troškova osobama izvan radnog odnosa (naknada za upravno vijeće) te u iznosu od 36.320,93 € obveza za ostale nespomenute rashode poslovanja (članarine, pristojbe i nakn</w:t>
      </w:r>
      <w:r>
        <w:t>ade, obveze za troškove sudskih postupaka i ostali nespomenuti rashodi poslovanja-usluge stanica za tehnički pregled i slivne vode).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Obveze za financijske rashode odnose se na bankovne usluge i usluge platnog prometa te zatezne kamate. Sve dospijele obveze su podmirene, nepodmireni iznos odnosi se na fakturirane bankovne usluge i usluge platnog prometa za prosinac koje su podmirene u si</w:t>
      </w:r>
      <w:r>
        <w:t>ječnju 2026.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pomoći dane u inozemstvo i unutar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917.208,69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Obveze na računu 236 podmirene su u iznosu od 917.208,69 €, a odnose se na obveze za 11 mjeseci prema Gradu Zadru temeljem Pravilnika o naplati godišnje naknade za uporabu javnih cesta što se plaća pri registraciji motornih i priključnih vozila (NN 130/12)</w:t>
      </w:r>
      <w:r>
        <w:t xml:space="preserve"> u iznosu od 622.393,13 €. Također su podmirene obveze za kapitalne pomoći drugom proračunu i izvanproračunskim korisnicima u iznosu od 294.815,56 € i to prema Općini Sukošan temeljem sklopljenog Ugovora o sufinanciranju radova izgradnje nogostupa na dijel</w:t>
      </w:r>
      <w:r>
        <w:t xml:space="preserve">u </w:t>
      </w:r>
      <w:r>
        <w:lastRenderedPageBreak/>
        <w:t>županijske ceste Ž6042 u naselju Gorica te Općini Jasenice temeljem sklopljenog Ugovora o sufinanciranju radova izgradnje nogostupa na dijelu lokalne ceste L63159 u naselju Maslenica (Ulica Gojka Šuška), Općini Zemunik za sanaciju kolnika županijske cest</w:t>
      </w:r>
      <w:r>
        <w:t>e Ž6011 u naselju Zemunik Donji, Općini Sv. Filip i Jakov za sanaciju dijela kolnika županijske ceste Ž6046 od vodospreme u naselju Sikovo ka naselju Sv. Filip i Jakov. Navedene općine bile su investitori spomenutih radova. 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donacije, kazne, naknade šteta i kapitalne pomoći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Evidentirani iznos posljedica je nastale obveze za isplatu paušalne rente sukladno sudskoj presudi za naknadu štete koju ova uprava isplaćuje oštećenoj stranci sukladno sudskoj presudi.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Odnose se na ostale obveze i podmirene su u cijelosti.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2.508.235,22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Iznos plaćenih obveza za nabavu nefinancijske imovine odnosi se na: ulaganje u tuđu imovinu u iznosu od 84.000,00 € za sufinanciranje radova poslovnog prostora u ulici Ivana Mažuranića 30 u Zadru temeljem sklopljenog sporazuma sa Zadarskom županijom; građe</w:t>
      </w:r>
      <w:r>
        <w:t>nje servisne ceste za Centar za gospodarenje otpadom Biljane Donje u iznosu od 2.382.215,90 €, nabavu novog servera i kuhinje u iznosu od 16.119,41 € zbog preseljenja u novi poslovni prostor te nabave novog službenog vozila u iznosu od 25.899,91 €. Sve obv</w:t>
      </w:r>
      <w:r>
        <w:t>eze su podmirene u cijelosti.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91.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Odnosi se na obvezu za jamstvo na ponudu od 4.000,00 i refundaciju troškova ovrhe iz 2024. godine u iznosu od 400,00 €.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razdoblja (šifre </w:t>
            </w:r>
            <w:r>
              <w:rPr>
                <w:sz w:val="18"/>
              </w:rPr>
              <w:t>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541.253,30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 xml:space="preserve">Saldo obveza Županijske uprave za ceste Zadarske županije na dan 31. prosinca 2025. godine iznosi 541.253,30 € i odnosi se na nedospjele obveze i to: za brutto plaću za mjesec prosinac u iznosu od 34.152,33 €; za topli obrok za mjesec prosinac u iznosu od </w:t>
      </w:r>
      <w:r>
        <w:t>1.209,71 €; za prijevoz s posla i na posao za mjesec prosinac u iznosu od 797,46 €; za energiju (eletkrična energija i gorivo) za mjesec prosinac u iznosu od 1.218,12 €; za usluge telefona, pošte i prijevoza za prosinac u iznosu od 592,16 €; za usluge teku</w:t>
      </w:r>
      <w:r>
        <w:t>ćeg i investicijskog održavanja (paušalni iznos za održavanje printera) za prosinac u iznosu od 169,56 €; za usluge redovitog održavanja županijskih i lokalnih cesta za prosinac u iznosu od 265.545,30 €; za izvanredno održavanje županijskih i lokalnih cest</w:t>
      </w:r>
      <w:r>
        <w:t>a - račun za ugradnju pokazivača brzine fakturiran 31.12.2025. u iznosu od 82.856,25 €, za usluge promidžbe i informiranja za prosinac u iznosu od 842,75 €; za komunalne usluge za prosinac u iznosu od 203,22 €; za zakupnine i najamnine za poslovni i arhivn</w:t>
      </w:r>
      <w:r>
        <w:t>ski prostor za mjesec prosinac u iznosu od 3.075,73 €; za intelektualne i osobne usluge za fakturiranu uslugu nadzora izgradnje servisne ceste za CGO Biljane Donje 31.12.2025. u iznosu od 3.600,00 €; za računalne usluge u iznosu od 137,50 € za paušalni izn</w:t>
      </w:r>
      <w:r>
        <w:t>os održavanje web stranice za prosinac 2025.;  za ostale usluge odnose se na obveze prema stanicama za tehnički pregled koje ova uprava plaća mjesečno sukladno ugovoru u svrhu usluge naplate cestarine i vođenja evidencije o naplati iste u iznosu od 10.095,</w:t>
      </w:r>
      <w:r>
        <w:t>57 € odnosi se na obvezu za prosinac; za bankarske usluge i usluge platnog prometa za prosinac u iznosu od 261,83 €; za tekuće pomoći drugom proračunu i izvanproračunskim korisnicima - odnosi se na obvezu prema Gradu Zadru za prosinac u iznosu od 53.162,48</w:t>
      </w:r>
      <w:r>
        <w:t xml:space="preserve"> €; za kapitalne pomoći drugom proračunu i izvanproračunskim korisnicima - saldo obveze u iznosu od 83.333,33 odnosi se na obvezu prema Gradu Ninu sukladno sklopljenom ugovoru o zajedničkom sufinanciranju za izgradnju biciklističke staze uz lokalnu cestu L</w:t>
      </w:r>
      <w:r>
        <w:t>63049.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lastRenderedPageBreak/>
        <w:t>Bilješka 93.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D95F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Ova uprava na dan 31.12.2025. godine nema dospijelih obveza.</w:t>
      </w:r>
    </w:p>
    <w:p w:rsidR="00D95F73" w:rsidRDefault="00D95F73"/>
    <w:p w:rsidR="00D95F73" w:rsidRDefault="00E857D3">
      <w:pPr>
        <w:keepNext/>
        <w:spacing w:line="240" w:lineRule="auto"/>
        <w:jc w:val="center"/>
      </w:pPr>
      <w:r>
        <w:rPr>
          <w:sz w:val="28"/>
        </w:rPr>
        <w:t>Bilješka 94.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D9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95F7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541.253,30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95F73" w:rsidRDefault="00E857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95F73" w:rsidRDefault="00D95F73">
      <w:pPr>
        <w:spacing w:after="0"/>
      </w:pPr>
    </w:p>
    <w:p w:rsidR="00D95F73" w:rsidRDefault="00E857D3">
      <w:r>
        <w:t>Saldo obveza Županijske uprave za ceste Zadarske županije na dan 31. prosinca 2025. godine iznosi 541.253,30 € i odnosi se na nedospjele obveze i to:</w:t>
      </w:r>
    </w:p>
    <w:p w:rsidR="00D95F73" w:rsidRDefault="00E857D3">
      <w:r>
        <w:t>Obveze za brutto plaću za mjesec prosinac u iznosu od 34.152,33 €;</w:t>
      </w:r>
      <w:r>
        <w:br/>
        <w:t>Obveze za topli obrok za mjesec prosina</w:t>
      </w:r>
      <w:r>
        <w:t>c u iznosu od 1.209,71 €;</w:t>
      </w:r>
      <w:r>
        <w:br/>
        <w:t>Obveze za prijevoz s posla i na posao za mjesec prosinac u iznosu od 797,46 €;</w:t>
      </w:r>
      <w:r>
        <w:br/>
        <w:t>Obveze za energiju (eletkrična energija i gorivo) za mjesec prosinac u iznosu od 1.218,12 €;</w:t>
      </w:r>
      <w:r>
        <w:br/>
        <w:t>Obveze za usluge telefona, pošte i prijevoza za prosinac u</w:t>
      </w:r>
      <w:r>
        <w:t xml:space="preserve"> iznosu od 592,16 €;</w:t>
      </w:r>
      <w:r>
        <w:br/>
        <w:t>Obveze za usluge tekućeg i investicijskog održavanja (paušalni iznos za održavanje printera) za prosinac u iznosu od 169,56 €;</w:t>
      </w:r>
      <w:r>
        <w:br/>
        <w:t>Obveze za usluge redovitog održavanja županijskih i lokalnih cesta za prosinac u iznosu od 265.545,30 €;</w:t>
      </w:r>
      <w:r>
        <w:br/>
        <w:t>Obv</w:t>
      </w:r>
      <w:r>
        <w:t>eze za izvanredno održavanje županijskih i lokalnih cesta - račun za ugradnju pokazivača brzine fakturiran 31.12.2025. u iznosu od 82.856,25 €,</w:t>
      </w:r>
      <w:r>
        <w:br/>
        <w:t>Obveze za usluge promidžbe i informiranja za prosinac u iznosu od 842,75 €;</w:t>
      </w:r>
      <w:r>
        <w:br/>
        <w:t>Obveze za komunalne usluge za prosin</w:t>
      </w:r>
      <w:r>
        <w:t>ac u iznosu od 203,22 €;</w:t>
      </w:r>
      <w:r>
        <w:br/>
        <w:t>Obveze za zakupnine i najamnine za poslovni i arhivnski prostor za mjesec prosinac u iznosu od 3.075,73 €;</w:t>
      </w:r>
      <w:r>
        <w:br/>
        <w:t>Obveze za intelektualne i osobne usluge za fakturiranu uslugu nadzora izgradnje servisne ceste za CGO Biljane Donje 31.12.20</w:t>
      </w:r>
      <w:r>
        <w:t>25. u iznosu od 3.600,00 €;</w:t>
      </w:r>
      <w:r>
        <w:br/>
        <w:t>Obveze za računalne usluge u iznosu od 137,50 € za paušalni iznos održavanje web stranice za prosinac 2025.;</w:t>
      </w:r>
      <w:r>
        <w:br/>
        <w:t>Obveze za ostale usluge odnose se na obveze prema stanicama za tehnički pregled koje ova uprava plaća mjesečno sukladno</w:t>
      </w:r>
      <w:r>
        <w:t xml:space="preserve"> ugovoru u svrhu usluge naplate cestarine i vođenja evidencije o naplati iste. Evidentirani iznos od 10.095,57 € odnosi se na obvezu za prosinac;</w:t>
      </w:r>
      <w:r>
        <w:br/>
        <w:t>Obveze za bankarske usluge i usluge platnog prometa za prosinac u iznosu od 261,83 €;</w:t>
      </w:r>
      <w:r>
        <w:br/>
        <w:t xml:space="preserve">Obveze za tekuće pomoći </w:t>
      </w:r>
      <w:r>
        <w:t xml:space="preserve">drugom proračunu i izvanproračunskim korisnicima - odnosi se na obvezu prema Gradu Zadru za prosinac u iznosu od 53.162,48 € - Odlukom ministra pomorstva, prometa i infrastrukture u 2012. izvršeno je razvrstavanje javnih cesta (NN 44/12) </w:t>
      </w:r>
      <w:r>
        <w:lastRenderedPageBreak/>
        <w:t>te je istodobno do</w:t>
      </w:r>
      <w:r>
        <w:t>nesena Odluka o cestama na području velikih gradova koje prestaju biti razvrstane u javne ceste. S obzirom da se navedenim aktima odredila promjena upravitelja cesta tako je temeljem Pravilnika o naplati godišnje naknade za uporabu javnih cesta što se plać</w:t>
      </w:r>
      <w:r>
        <w:t>a pri registraciji motornih i priključnih vozila (NN 130/12) određen postotak od 8,2% i vrsta prihoda koju je ŽUC dužan mjesečno uplaćivati Gradu Zadru, a isto tako i obveze koje je Grad Zadar dužan podmirivati prema ŽUC-u;</w:t>
      </w:r>
      <w:r>
        <w:br/>
        <w:t>Obveze za kapitalne pomoći drugo</w:t>
      </w:r>
      <w:r>
        <w:t>m proračunu i izvanproračunskim korisnicima - saldo obveze u iznosu od 83.333,33 odnosi se na obvezu prema Gradu Ninu sukladno sklopljenom ugovoru o zajedničkom sufinanciranju za izgradnju biciklističke staze uz lokalnu cestu L63049.</w:t>
      </w:r>
    </w:p>
    <w:p w:rsidR="00D95F73" w:rsidRDefault="00D95F73"/>
    <w:sectPr w:rsidR="00D9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B6D"/>
    <w:multiLevelType w:val="hybridMultilevel"/>
    <w:tmpl w:val="3E18B33E"/>
    <w:name w:val="disc"/>
    <w:lvl w:ilvl="0" w:tplc="E96EE972">
      <w:start w:val="1"/>
      <w:numFmt w:val="bullet"/>
      <w:lvlText w:val="•"/>
      <w:lvlJc w:val="left"/>
      <w:pPr>
        <w:ind w:left="720" w:hanging="360"/>
      </w:pPr>
    </w:lvl>
    <w:lvl w:ilvl="1" w:tplc="6A129346">
      <w:start w:val="1"/>
      <w:numFmt w:val="bullet"/>
      <w:lvlText w:val="•"/>
      <w:lvlJc w:val="left"/>
      <w:pPr>
        <w:ind w:left="1440" w:hanging="360"/>
      </w:pPr>
    </w:lvl>
    <w:lvl w:ilvl="2" w:tplc="88D60E30">
      <w:start w:val="1"/>
      <w:numFmt w:val="bullet"/>
      <w:lvlText w:val="•"/>
      <w:lvlJc w:val="left"/>
      <w:pPr>
        <w:ind w:left="2160" w:hanging="360"/>
      </w:pPr>
    </w:lvl>
    <w:lvl w:ilvl="3" w:tplc="B9F68C4C">
      <w:start w:val="1"/>
      <w:numFmt w:val="bullet"/>
      <w:lvlText w:val="•"/>
      <w:lvlJc w:val="left"/>
      <w:pPr>
        <w:ind w:left="2880" w:hanging="360"/>
      </w:pPr>
    </w:lvl>
    <w:lvl w:ilvl="4" w:tplc="A4D4D8E0">
      <w:start w:val="1"/>
      <w:numFmt w:val="bullet"/>
      <w:lvlText w:val="•"/>
      <w:lvlJc w:val="left"/>
      <w:pPr>
        <w:ind w:left="3600" w:hanging="360"/>
      </w:pPr>
    </w:lvl>
    <w:lvl w:ilvl="5" w:tplc="BA48DD52">
      <w:start w:val="1"/>
      <w:numFmt w:val="bullet"/>
      <w:lvlText w:val="•"/>
      <w:lvlJc w:val="left"/>
      <w:pPr>
        <w:ind w:left="4320" w:hanging="360"/>
      </w:pPr>
    </w:lvl>
    <w:lvl w:ilvl="6" w:tplc="0C50C766">
      <w:start w:val="1"/>
      <w:numFmt w:val="bullet"/>
      <w:lvlText w:val="•"/>
      <w:lvlJc w:val="left"/>
      <w:pPr>
        <w:ind w:left="5040" w:hanging="360"/>
      </w:pPr>
    </w:lvl>
    <w:lvl w:ilvl="7" w:tplc="477E0F4C">
      <w:start w:val="1"/>
      <w:numFmt w:val="bullet"/>
      <w:lvlText w:val="•"/>
      <w:lvlJc w:val="left"/>
      <w:pPr>
        <w:ind w:left="5760" w:hanging="360"/>
      </w:pPr>
    </w:lvl>
    <w:lvl w:ilvl="8" w:tplc="3A681D36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5F73"/>
    <w:rsid w:val="00D95F73"/>
    <w:rsid w:val="00E8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5F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rsid w:val="00D95F73"/>
    <w:pPr>
      <w:spacing w:after="0" w:line="240" w:lineRule="auto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9979</Words>
  <Characters>56884</Characters>
  <Application>Microsoft Office Word</Application>
  <DocSecurity>0</DocSecurity>
  <Lines>474</Lines>
  <Paragraphs>133</Paragraphs>
  <ScaleCrop>false</ScaleCrop>
  <Company>HP</Company>
  <LinksUpToDate>false</LinksUpToDate>
  <CharactersWithSpaces>66730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2026-02-19T06:22:00Z</dcterms:created>
  <dcterms:modified xsi:type="dcterms:W3CDTF">2026-02-19T06:22:00Z</dcterms:modified>
</cp:coreProperties>
</file>